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76B7" w14:textId="280E26C1" w:rsidR="00AD2CC9" w:rsidRDefault="002A4B88" w:rsidP="00162FAA">
      <w:pPr>
        <w:pStyle w:val="Kop2"/>
      </w:pPr>
      <w:r>
        <w:t>Jaarverslag 2022 van het college van kerkrentmeesters</w:t>
      </w:r>
      <w:bookmarkStart w:id="0" w:name="_GoBack"/>
      <w:bookmarkEnd w:id="0"/>
    </w:p>
    <w:p w14:paraId="3C558439" w14:textId="77777777" w:rsidR="00162FAA" w:rsidRDefault="00162FAA" w:rsidP="00162FAA"/>
    <w:p w14:paraId="2CCAA572" w14:textId="41F1741C" w:rsidR="00162FAA" w:rsidRDefault="00162FAA" w:rsidP="00162FAA">
      <w:pPr>
        <w:pStyle w:val="Geenafstand"/>
      </w:pPr>
      <w:r>
        <w:t xml:space="preserve">De totstandkoming van de jaarrekening is vertraagd omdat het eerste halfjaar van 2023 vooral in het teken heeft gestaan van het realiseren van één PGE. Daarnaast bleek een </w:t>
      </w:r>
      <w:r w:rsidR="00D36A96">
        <w:t xml:space="preserve">heroriëntatie en </w:t>
      </w:r>
      <w:r>
        <w:t>inhaalslag binnen de administratie noodzakelijk.</w:t>
      </w:r>
    </w:p>
    <w:p w14:paraId="1A34C849" w14:textId="77777777" w:rsidR="00162FAA" w:rsidRDefault="00162FAA" w:rsidP="00162FAA">
      <w:pPr>
        <w:pStyle w:val="Geenafstand"/>
      </w:pPr>
    </w:p>
    <w:p w14:paraId="7539CA39" w14:textId="3698AD15" w:rsidR="00162FAA" w:rsidRDefault="00162FAA" w:rsidP="00162FAA">
      <w:pPr>
        <w:pStyle w:val="Geenafstand"/>
      </w:pPr>
      <w:r>
        <w:t>De jaarrekening is opgesteld om financiële verantwoording af te kunnen leggen aan de leden van de Protestantse Gemeente Ede (PGE). Ook dient deze jaarrekening als basis voor het verder overleg over de toekomst van de PGE.</w:t>
      </w:r>
    </w:p>
    <w:p w14:paraId="3B41C2B6" w14:textId="77777777" w:rsidR="00162FAA" w:rsidRDefault="00162FAA" w:rsidP="00162FAA">
      <w:pPr>
        <w:pStyle w:val="Geenafstand"/>
      </w:pPr>
    </w:p>
    <w:p w14:paraId="3BDE78D6" w14:textId="35EAC97C" w:rsidR="00162FAA" w:rsidRPr="00C830D3" w:rsidRDefault="006E265B" w:rsidP="00162FAA">
      <w:pPr>
        <w:pStyle w:val="Geenafstand"/>
        <w:rPr>
          <w:b/>
          <w:bCs/>
        </w:rPr>
      </w:pPr>
      <w:r>
        <w:rPr>
          <w:b/>
          <w:bCs/>
        </w:rPr>
        <w:t>Financieel r</w:t>
      </w:r>
      <w:r w:rsidR="00C830D3" w:rsidRPr="00C830D3">
        <w:rPr>
          <w:b/>
          <w:bCs/>
        </w:rPr>
        <w:t>esultaat 2022</w:t>
      </w:r>
    </w:p>
    <w:p w14:paraId="78688E0E" w14:textId="25C65663" w:rsidR="00162FAA" w:rsidRDefault="00162FAA" w:rsidP="00162FAA">
      <w:pPr>
        <w:pStyle w:val="Geenafstand"/>
      </w:pPr>
      <w:r>
        <w:t>Het resultaat over 202</w:t>
      </w:r>
      <w:r w:rsidR="00DB0654">
        <w:t>2</w:t>
      </w:r>
      <w:r>
        <w:t xml:space="preserve"> kan als volgt worden gespecificeerd:</w:t>
      </w:r>
    </w:p>
    <w:tbl>
      <w:tblPr>
        <w:tblStyle w:val="Tabelraster"/>
        <w:tblW w:w="0" w:type="auto"/>
        <w:tblLook w:val="04A0" w:firstRow="1" w:lastRow="0" w:firstColumn="1" w:lastColumn="0" w:noHBand="0" w:noVBand="1"/>
      </w:tblPr>
      <w:tblGrid>
        <w:gridCol w:w="3740"/>
        <w:gridCol w:w="1580"/>
        <w:gridCol w:w="1580"/>
        <w:gridCol w:w="1920"/>
      </w:tblGrid>
      <w:tr w:rsidR="00464EDA" w:rsidRPr="00464EDA" w14:paraId="7C7DEB36" w14:textId="77777777" w:rsidTr="00464EDA">
        <w:trPr>
          <w:trHeight w:val="264"/>
        </w:trPr>
        <w:tc>
          <w:tcPr>
            <w:tcW w:w="3740" w:type="dxa"/>
            <w:noWrap/>
            <w:hideMark/>
          </w:tcPr>
          <w:p w14:paraId="7FD19D34" w14:textId="52D7A208" w:rsidR="00464EDA" w:rsidRPr="00464EDA" w:rsidRDefault="00464EDA" w:rsidP="00464EDA">
            <w:pPr>
              <w:pStyle w:val="Geenafstand"/>
              <w:jc w:val="center"/>
              <w:rPr>
                <w:b/>
                <w:bCs/>
              </w:rPr>
            </w:pPr>
            <w:r w:rsidRPr="00464EDA">
              <w:rPr>
                <w:b/>
                <w:bCs/>
              </w:rPr>
              <w:t>Omschrijving</w:t>
            </w:r>
          </w:p>
        </w:tc>
        <w:tc>
          <w:tcPr>
            <w:tcW w:w="1580" w:type="dxa"/>
            <w:noWrap/>
            <w:hideMark/>
          </w:tcPr>
          <w:p w14:paraId="2788E062" w14:textId="23CE1E36" w:rsidR="00464EDA" w:rsidRPr="00464EDA" w:rsidRDefault="00464EDA" w:rsidP="00464EDA">
            <w:pPr>
              <w:pStyle w:val="Geenafstand"/>
              <w:jc w:val="center"/>
              <w:rPr>
                <w:b/>
                <w:bCs/>
              </w:rPr>
            </w:pPr>
            <w:r w:rsidRPr="00464EDA">
              <w:rPr>
                <w:b/>
                <w:bCs/>
              </w:rPr>
              <w:t>Begroting 2022</w:t>
            </w:r>
          </w:p>
        </w:tc>
        <w:tc>
          <w:tcPr>
            <w:tcW w:w="1580" w:type="dxa"/>
            <w:noWrap/>
            <w:hideMark/>
          </w:tcPr>
          <w:p w14:paraId="4914D941" w14:textId="36C688D6" w:rsidR="00464EDA" w:rsidRPr="00464EDA" w:rsidRDefault="00464EDA" w:rsidP="00464EDA">
            <w:pPr>
              <w:pStyle w:val="Geenafstand"/>
              <w:jc w:val="center"/>
              <w:rPr>
                <w:b/>
                <w:bCs/>
              </w:rPr>
            </w:pPr>
            <w:r w:rsidRPr="00464EDA">
              <w:rPr>
                <w:b/>
                <w:bCs/>
              </w:rPr>
              <w:t>Realisatie 2022</w:t>
            </w:r>
          </w:p>
        </w:tc>
        <w:tc>
          <w:tcPr>
            <w:tcW w:w="1920" w:type="dxa"/>
            <w:noWrap/>
            <w:hideMark/>
          </w:tcPr>
          <w:p w14:paraId="3FDF81A8" w14:textId="2DB13A11" w:rsidR="00464EDA" w:rsidRPr="00464EDA" w:rsidRDefault="00464EDA" w:rsidP="00464EDA">
            <w:pPr>
              <w:pStyle w:val="Geenafstand"/>
              <w:jc w:val="center"/>
              <w:rPr>
                <w:b/>
                <w:bCs/>
              </w:rPr>
            </w:pPr>
            <w:r w:rsidRPr="00464EDA">
              <w:rPr>
                <w:b/>
                <w:bCs/>
              </w:rPr>
              <w:t>Jaarrekening 2021</w:t>
            </w:r>
          </w:p>
        </w:tc>
      </w:tr>
      <w:tr w:rsidR="00464EDA" w:rsidRPr="00464EDA" w14:paraId="48F74B49" w14:textId="77777777" w:rsidTr="00464EDA">
        <w:trPr>
          <w:trHeight w:val="264"/>
        </w:trPr>
        <w:tc>
          <w:tcPr>
            <w:tcW w:w="3740" w:type="dxa"/>
            <w:noWrap/>
            <w:hideMark/>
          </w:tcPr>
          <w:p w14:paraId="05B56703" w14:textId="77777777" w:rsidR="00464EDA" w:rsidRPr="00464EDA" w:rsidRDefault="00464EDA" w:rsidP="00464EDA">
            <w:pPr>
              <w:pStyle w:val="Geenafstand"/>
            </w:pPr>
            <w:r w:rsidRPr="00464EDA">
              <w:t xml:space="preserve"> Totaal opbrengsten en baten </w:t>
            </w:r>
          </w:p>
        </w:tc>
        <w:tc>
          <w:tcPr>
            <w:tcW w:w="1580" w:type="dxa"/>
            <w:noWrap/>
            <w:hideMark/>
          </w:tcPr>
          <w:p w14:paraId="1B3DA340" w14:textId="77777777" w:rsidR="00464EDA" w:rsidRPr="00464EDA" w:rsidRDefault="00464EDA" w:rsidP="00464EDA">
            <w:pPr>
              <w:pStyle w:val="Geenafstand"/>
              <w:jc w:val="right"/>
            </w:pPr>
            <w:r w:rsidRPr="00464EDA">
              <w:t xml:space="preserve">            856.100 </w:t>
            </w:r>
          </w:p>
        </w:tc>
        <w:tc>
          <w:tcPr>
            <w:tcW w:w="1580" w:type="dxa"/>
            <w:noWrap/>
            <w:hideMark/>
          </w:tcPr>
          <w:p w14:paraId="26AC9AD4" w14:textId="77777777" w:rsidR="00464EDA" w:rsidRPr="00464EDA" w:rsidRDefault="00464EDA" w:rsidP="00464EDA">
            <w:pPr>
              <w:pStyle w:val="Geenafstand"/>
              <w:jc w:val="right"/>
            </w:pPr>
            <w:r w:rsidRPr="00464EDA">
              <w:t xml:space="preserve">            855.652 </w:t>
            </w:r>
          </w:p>
        </w:tc>
        <w:tc>
          <w:tcPr>
            <w:tcW w:w="1920" w:type="dxa"/>
            <w:noWrap/>
            <w:hideMark/>
          </w:tcPr>
          <w:p w14:paraId="46BC82EB" w14:textId="77777777" w:rsidR="00464EDA" w:rsidRPr="00464EDA" w:rsidRDefault="00464EDA" w:rsidP="00464EDA">
            <w:pPr>
              <w:pStyle w:val="Geenafstand"/>
              <w:jc w:val="right"/>
            </w:pPr>
            <w:r w:rsidRPr="00464EDA">
              <w:t xml:space="preserve">                 863.913 </w:t>
            </w:r>
          </w:p>
        </w:tc>
      </w:tr>
      <w:tr w:rsidR="00464EDA" w:rsidRPr="00464EDA" w14:paraId="22A280E8" w14:textId="77777777" w:rsidTr="00464EDA">
        <w:trPr>
          <w:trHeight w:val="264"/>
        </w:trPr>
        <w:tc>
          <w:tcPr>
            <w:tcW w:w="3740" w:type="dxa"/>
            <w:noWrap/>
            <w:hideMark/>
          </w:tcPr>
          <w:p w14:paraId="52100829" w14:textId="77777777" w:rsidR="00464EDA" w:rsidRPr="00464EDA" w:rsidRDefault="00464EDA" w:rsidP="00464EDA">
            <w:pPr>
              <w:pStyle w:val="Geenafstand"/>
            </w:pPr>
            <w:r w:rsidRPr="00464EDA">
              <w:t xml:space="preserve"> Totaal uitgaven en kosten </w:t>
            </w:r>
          </w:p>
        </w:tc>
        <w:tc>
          <w:tcPr>
            <w:tcW w:w="1580" w:type="dxa"/>
            <w:noWrap/>
            <w:hideMark/>
          </w:tcPr>
          <w:p w14:paraId="4C15E22A" w14:textId="77777777" w:rsidR="00464EDA" w:rsidRPr="00464EDA" w:rsidRDefault="00464EDA" w:rsidP="00464EDA">
            <w:pPr>
              <w:pStyle w:val="Geenafstand"/>
              <w:jc w:val="right"/>
            </w:pPr>
            <w:r w:rsidRPr="00464EDA">
              <w:t xml:space="preserve">         1.003.800 </w:t>
            </w:r>
          </w:p>
        </w:tc>
        <w:tc>
          <w:tcPr>
            <w:tcW w:w="1580" w:type="dxa"/>
            <w:noWrap/>
            <w:hideMark/>
          </w:tcPr>
          <w:p w14:paraId="7E9233DB" w14:textId="77777777" w:rsidR="00464EDA" w:rsidRPr="00464EDA" w:rsidRDefault="00464EDA" w:rsidP="00464EDA">
            <w:pPr>
              <w:pStyle w:val="Geenafstand"/>
              <w:jc w:val="right"/>
            </w:pPr>
            <w:r w:rsidRPr="00464EDA">
              <w:t xml:space="preserve">            964.642 </w:t>
            </w:r>
          </w:p>
        </w:tc>
        <w:tc>
          <w:tcPr>
            <w:tcW w:w="1920" w:type="dxa"/>
            <w:noWrap/>
            <w:hideMark/>
          </w:tcPr>
          <w:p w14:paraId="49DC4727" w14:textId="77777777" w:rsidR="00464EDA" w:rsidRPr="00464EDA" w:rsidRDefault="00464EDA" w:rsidP="00464EDA">
            <w:pPr>
              <w:pStyle w:val="Geenafstand"/>
              <w:jc w:val="right"/>
            </w:pPr>
            <w:r w:rsidRPr="00464EDA">
              <w:t xml:space="preserve">               1.028.979 </w:t>
            </w:r>
          </w:p>
        </w:tc>
      </w:tr>
      <w:tr w:rsidR="00464EDA" w:rsidRPr="00464EDA" w14:paraId="6FB8BEFD" w14:textId="77777777" w:rsidTr="00464EDA">
        <w:trPr>
          <w:trHeight w:val="264"/>
        </w:trPr>
        <w:tc>
          <w:tcPr>
            <w:tcW w:w="3740" w:type="dxa"/>
            <w:noWrap/>
            <w:hideMark/>
          </w:tcPr>
          <w:p w14:paraId="4F3800AC" w14:textId="0AE30FEC" w:rsidR="00464EDA" w:rsidRPr="00464EDA" w:rsidRDefault="00464EDA">
            <w:pPr>
              <w:pStyle w:val="Geenafstand"/>
              <w:rPr>
                <w:b/>
                <w:bCs/>
              </w:rPr>
            </w:pPr>
            <w:r w:rsidRPr="00464EDA">
              <w:rPr>
                <w:b/>
                <w:bCs/>
              </w:rPr>
              <w:t xml:space="preserve"> </w:t>
            </w:r>
            <w:r w:rsidR="00AA7D1F">
              <w:rPr>
                <w:b/>
                <w:bCs/>
              </w:rPr>
              <w:t>Operationeel resultaat</w:t>
            </w:r>
          </w:p>
        </w:tc>
        <w:tc>
          <w:tcPr>
            <w:tcW w:w="1580" w:type="dxa"/>
            <w:noWrap/>
            <w:hideMark/>
          </w:tcPr>
          <w:p w14:paraId="327EAFC3" w14:textId="77777777" w:rsidR="00464EDA" w:rsidRPr="00464EDA" w:rsidRDefault="00464EDA" w:rsidP="00464EDA">
            <w:pPr>
              <w:pStyle w:val="Geenafstand"/>
              <w:jc w:val="right"/>
              <w:rPr>
                <w:b/>
                <w:bCs/>
              </w:rPr>
            </w:pPr>
            <w:r w:rsidRPr="00464EDA">
              <w:rPr>
                <w:b/>
                <w:bCs/>
              </w:rPr>
              <w:t xml:space="preserve">          -147.700 </w:t>
            </w:r>
          </w:p>
        </w:tc>
        <w:tc>
          <w:tcPr>
            <w:tcW w:w="1580" w:type="dxa"/>
            <w:noWrap/>
            <w:hideMark/>
          </w:tcPr>
          <w:p w14:paraId="4129872F" w14:textId="77777777" w:rsidR="00464EDA" w:rsidRPr="00464EDA" w:rsidRDefault="00464EDA" w:rsidP="00464EDA">
            <w:pPr>
              <w:pStyle w:val="Geenafstand"/>
              <w:jc w:val="right"/>
              <w:rPr>
                <w:b/>
                <w:bCs/>
              </w:rPr>
            </w:pPr>
            <w:r w:rsidRPr="00464EDA">
              <w:rPr>
                <w:b/>
                <w:bCs/>
              </w:rPr>
              <w:t xml:space="preserve">          -108.990 </w:t>
            </w:r>
          </w:p>
        </w:tc>
        <w:tc>
          <w:tcPr>
            <w:tcW w:w="1920" w:type="dxa"/>
            <w:noWrap/>
            <w:hideMark/>
          </w:tcPr>
          <w:p w14:paraId="7133EA84" w14:textId="77777777" w:rsidR="00464EDA" w:rsidRPr="00464EDA" w:rsidRDefault="00464EDA" w:rsidP="00464EDA">
            <w:pPr>
              <w:pStyle w:val="Geenafstand"/>
              <w:jc w:val="right"/>
              <w:rPr>
                <w:b/>
                <w:bCs/>
              </w:rPr>
            </w:pPr>
            <w:r w:rsidRPr="00464EDA">
              <w:rPr>
                <w:b/>
                <w:bCs/>
              </w:rPr>
              <w:t xml:space="preserve">                -165.066 </w:t>
            </w:r>
          </w:p>
        </w:tc>
      </w:tr>
      <w:tr w:rsidR="00464EDA" w:rsidRPr="00464EDA" w14:paraId="7C1D89EA" w14:textId="77777777" w:rsidTr="00464EDA">
        <w:trPr>
          <w:trHeight w:val="264"/>
        </w:trPr>
        <w:tc>
          <w:tcPr>
            <w:tcW w:w="3740" w:type="dxa"/>
            <w:noWrap/>
            <w:hideMark/>
          </w:tcPr>
          <w:p w14:paraId="1D83E5A0" w14:textId="77777777" w:rsidR="00464EDA" w:rsidRPr="00464EDA" w:rsidRDefault="00464EDA" w:rsidP="00464EDA">
            <w:pPr>
              <w:pStyle w:val="Geenafstand"/>
            </w:pPr>
            <w:r w:rsidRPr="00464EDA">
              <w:t xml:space="preserve"> Totaal incidentele baten en lasten </w:t>
            </w:r>
          </w:p>
        </w:tc>
        <w:tc>
          <w:tcPr>
            <w:tcW w:w="1580" w:type="dxa"/>
            <w:noWrap/>
            <w:hideMark/>
          </w:tcPr>
          <w:p w14:paraId="680CEC63" w14:textId="77777777" w:rsidR="00464EDA" w:rsidRPr="00464EDA" w:rsidRDefault="00464EDA" w:rsidP="00464EDA">
            <w:pPr>
              <w:pStyle w:val="Geenafstand"/>
              <w:jc w:val="right"/>
            </w:pPr>
            <w:r w:rsidRPr="00464EDA">
              <w:t xml:space="preserve">                    -   </w:t>
            </w:r>
          </w:p>
        </w:tc>
        <w:tc>
          <w:tcPr>
            <w:tcW w:w="1580" w:type="dxa"/>
            <w:noWrap/>
            <w:hideMark/>
          </w:tcPr>
          <w:p w14:paraId="52D573D2" w14:textId="67A0E250" w:rsidR="00464EDA" w:rsidRPr="00464EDA" w:rsidRDefault="00464EDA" w:rsidP="00464EDA">
            <w:pPr>
              <w:pStyle w:val="Geenafstand"/>
              <w:jc w:val="right"/>
            </w:pPr>
            <w:r w:rsidRPr="00464EDA">
              <w:t xml:space="preserve">            132.7</w:t>
            </w:r>
            <w:r w:rsidR="00965A9F">
              <w:t>11</w:t>
            </w:r>
            <w:r w:rsidRPr="00464EDA">
              <w:t xml:space="preserve"> </w:t>
            </w:r>
          </w:p>
        </w:tc>
        <w:tc>
          <w:tcPr>
            <w:tcW w:w="1920" w:type="dxa"/>
            <w:noWrap/>
            <w:hideMark/>
          </w:tcPr>
          <w:p w14:paraId="61C921AB" w14:textId="77777777" w:rsidR="00464EDA" w:rsidRPr="00464EDA" w:rsidRDefault="00464EDA" w:rsidP="00464EDA">
            <w:pPr>
              <w:pStyle w:val="Geenafstand"/>
              <w:jc w:val="right"/>
            </w:pPr>
            <w:r w:rsidRPr="00464EDA">
              <w:t xml:space="preserve">                   46.314 </w:t>
            </w:r>
          </w:p>
        </w:tc>
      </w:tr>
      <w:tr w:rsidR="00464EDA" w:rsidRPr="00464EDA" w14:paraId="49902E47" w14:textId="77777777" w:rsidTr="00464EDA">
        <w:trPr>
          <w:trHeight w:val="264"/>
        </w:trPr>
        <w:tc>
          <w:tcPr>
            <w:tcW w:w="3740" w:type="dxa"/>
            <w:noWrap/>
            <w:hideMark/>
          </w:tcPr>
          <w:p w14:paraId="1440CC53" w14:textId="77777777" w:rsidR="00464EDA" w:rsidRPr="00464EDA" w:rsidRDefault="00464EDA" w:rsidP="00464EDA">
            <w:pPr>
              <w:pStyle w:val="Geenafstand"/>
            </w:pPr>
            <w:r w:rsidRPr="00464EDA">
              <w:t xml:space="preserve"> Mutaties bestemmingsreserves/-fondsen </w:t>
            </w:r>
          </w:p>
        </w:tc>
        <w:tc>
          <w:tcPr>
            <w:tcW w:w="1580" w:type="dxa"/>
            <w:noWrap/>
            <w:hideMark/>
          </w:tcPr>
          <w:p w14:paraId="14EB3870" w14:textId="77777777" w:rsidR="00464EDA" w:rsidRPr="00464EDA" w:rsidRDefault="00464EDA" w:rsidP="00464EDA">
            <w:pPr>
              <w:pStyle w:val="Geenafstand"/>
              <w:jc w:val="right"/>
            </w:pPr>
            <w:r w:rsidRPr="00464EDA">
              <w:t xml:space="preserve">             51.100 </w:t>
            </w:r>
          </w:p>
        </w:tc>
        <w:tc>
          <w:tcPr>
            <w:tcW w:w="1580" w:type="dxa"/>
            <w:noWrap/>
            <w:hideMark/>
          </w:tcPr>
          <w:p w14:paraId="1EE0E194" w14:textId="77777777" w:rsidR="00464EDA" w:rsidRPr="00464EDA" w:rsidRDefault="00464EDA" w:rsidP="00464EDA">
            <w:pPr>
              <w:pStyle w:val="Geenafstand"/>
              <w:jc w:val="right"/>
            </w:pPr>
            <w:r w:rsidRPr="00464EDA">
              <w:t xml:space="preserve">            -40.817 </w:t>
            </w:r>
          </w:p>
        </w:tc>
        <w:tc>
          <w:tcPr>
            <w:tcW w:w="1920" w:type="dxa"/>
            <w:noWrap/>
            <w:hideMark/>
          </w:tcPr>
          <w:p w14:paraId="343AA9C8" w14:textId="77777777" w:rsidR="00464EDA" w:rsidRPr="00464EDA" w:rsidRDefault="00464EDA" w:rsidP="00464EDA">
            <w:pPr>
              <w:pStyle w:val="Geenafstand"/>
              <w:jc w:val="right"/>
            </w:pPr>
            <w:r w:rsidRPr="00464EDA">
              <w:t xml:space="preserve">                   55.124 </w:t>
            </w:r>
          </w:p>
        </w:tc>
      </w:tr>
      <w:tr w:rsidR="00464EDA" w:rsidRPr="00464EDA" w14:paraId="0ED353F6" w14:textId="77777777" w:rsidTr="00464EDA">
        <w:trPr>
          <w:trHeight w:val="264"/>
        </w:trPr>
        <w:tc>
          <w:tcPr>
            <w:tcW w:w="3740" w:type="dxa"/>
            <w:noWrap/>
            <w:hideMark/>
          </w:tcPr>
          <w:p w14:paraId="3B4C44B7" w14:textId="77777777" w:rsidR="00464EDA" w:rsidRPr="00464EDA" w:rsidRDefault="00464EDA" w:rsidP="00464EDA">
            <w:pPr>
              <w:pStyle w:val="Geenafstand"/>
              <w:rPr>
                <w:b/>
                <w:bCs/>
              </w:rPr>
            </w:pPr>
            <w:r w:rsidRPr="00464EDA">
              <w:rPr>
                <w:b/>
                <w:bCs/>
              </w:rPr>
              <w:t xml:space="preserve"> Resultaat naar algemene reserve </w:t>
            </w:r>
          </w:p>
        </w:tc>
        <w:tc>
          <w:tcPr>
            <w:tcW w:w="1580" w:type="dxa"/>
            <w:noWrap/>
            <w:hideMark/>
          </w:tcPr>
          <w:p w14:paraId="77F50209" w14:textId="77777777" w:rsidR="00464EDA" w:rsidRPr="00464EDA" w:rsidRDefault="00464EDA" w:rsidP="00464EDA">
            <w:pPr>
              <w:pStyle w:val="Geenafstand"/>
              <w:jc w:val="right"/>
              <w:rPr>
                <w:b/>
                <w:bCs/>
              </w:rPr>
            </w:pPr>
            <w:r w:rsidRPr="00464EDA">
              <w:rPr>
                <w:b/>
                <w:bCs/>
              </w:rPr>
              <w:t xml:space="preserve">            -96.600 </w:t>
            </w:r>
          </w:p>
        </w:tc>
        <w:tc>
          <w:tcPr>
            <w:tcW w:w="1580" w:type="dxa"/>
            <w:noWrap/>
            <w:hideMark/>
          </w:tcPr>
          <w:p w14:paraId="0D5C0025" w14:textId="741AC38F" w:rsidR="00464EDA" w:rsidRPr="00464EDA" w:rsidRDefault="00464EDA" w:rsidP="00464EDA">
            <w:pPr>
              <w:pStyle w:val="Geenafstand"/>
              <w:jc w:val="right"/>
              <w:rPr>
                <w:b/>
                <w:bCs/>
              </w:rPr>
            </w:pPr>
            <w:r w:rsidRPr="00464EDA">
              <w:rPr>
                <w:b/>
                <w:bCs/>
              </w:rPr>
              <w:t xml:space="preserve">            -17.</w:t>
            </w:r>
            <w:r w:rsidR="00965A9F">
              <w:rPr>
                <w:b/>
                <w:bCs/>
              </w:rPr>
              <w:t>096</w:t>
            </w:r>
            <w:r w:rsidRPr="00464EDA">
              <w:rPr>
                <w:b/>
                <w:bCs/>
              </w:rPr>
              <w:t xml:space="preserve"> </w:t>
            </w:r>
          </w:p>
        </w:tc>
        <w:tc>
          <w:tcPr>
            <w:tcW w:w="1920" w:type="dxa"/>
            <w:noWrap/>
            <w:hideMark/>
          </w:tcPr>
          <w:p w14:paraId="1D7E3C13" w14:textId="77777777" w:rsidR="00464EDA" w:rsidRPr="00464EDA" w:rsidRDefault="00464EDA" w:rsidP="00464EDA">
            <w:pPr>
              <w:pStyle w:val="Geenafstand"/>
              <w:jc w:val="right"/>
              <w:rPr>
                <w:b/>
                <w:bCs/>
              </w:rPr>
            </w:pPr>
            <w:r w:rsidRPr="00464EDA">
              <w:rPr>
                <w:b/>
                <w:bCs/>
              </w:rPr>
              <w:t xml:space="preserve">                  -63.628 </w:t>
            </w:r>
          </w:p>
        </w:tc>
      </w:tr>
    </w:tbl>
    <w:p w14:paraId="3FD6B032" w14:textId="77777777" w:rsidR="00065113" w:rsidRDefault="00065113" w:rsidP="00162FAA">
      <w:pPr>
        <w:pStyle w:val="Geenafstand"/>
        <w:rPr>
          <w:b/>
          <w:bCs/>
        </w:rPr>
      </w:pPr>
    </w:p>
    <w:p w14:paraId="3D2BC1CC" w14:textId="7DC64C44" w:rsidR="00AA7D1F" w:rsidRPr="00EF2188" w:rsidRDefault="00AA7D1F" w:rsidP="00162FAA">
      <w:pPr>
        <w:pStyle w:val="Geenafstand"/>
        <w:rPr>
          <w:b/>
        </w:rPr>
      </w:pPr>
      <w:r w:rsidRPr="00EF2188">
        <w:rPr>
          <w:b/>
        </w:rPr>
        <w:t>Opbrengsten</w:t>
      </w:r>
      <w:r>
        <w:rPr>
          <w:b/>
        </w:rPr>
        <w:t xml:space="preserve"> en baten</w:t>
      </w:r>
    </w:p>
    <w:p w14:paraId="3C30ED22" w14:textId="77777777" w:rsidR="00AA7D1F" w:rsidRDefault="00D63BF2" w:rsidP="00162FAA">
      <w:pPr>
        <w:pStyle w:val="Geenafstand"/>
      </w:pPr>
      <w:r>
        <w:t xml:space="preserve">Ondanks </w:t>
      </w:r>
      <w:r w:rsidR="00426FB8">
        <w:t xml:space="preserve">een negatief </w:t>
      </w:r>
      <w:r w:rsidR="00AA7D1F">
        <w:t xml:space="preserve">operationeel </w:t>
      </w:r>
      <w:r>
        <w:t>resultaat</w:t>
      </w:r>
      <w:r w:rsidR="00426FB8">
        <w:t xml:space="preserve"> </w:t>
      </w:r>
      <w:r>
        <w:t xml:space="preserve"> is het </w:t>
      </w:r>
      <w:r w:rsidR="00AA7D1F">
        <w:t xml:space="preserve">resultaat € 38.800,00 </w:t>
      </w:r>
      <w:r>
        <w:t>gunstiger dan begroot.</w:t>
      </w:r>
    </w:p>
    <w:p w14:paraId="56DA16F9" w14:textId="0EBBEAEC" w:rsidR="00065113" w:rsidRDefault="00D63BF2" w:rsidP="00162FAA">
      <w:pPr>
        <w:pStyle w:val="Geenafstand"/>
      </w:pPr>
      <w:r>
        <w:t xml:space="preserve"> </w:t>
      </w:r>
      <w:r w:rsidR="00AA7D1F">
        <w:t>Dit is veroorzaakt d</w:t>
      </w:r>
      <w:r w:rsidR="00426FB8">
        <w:t>oor verhuur van de voormalige pastorieën tegen marktconforme huurprijzen</w:t>
      </w:r>
      <w:r w:rsidR="00AA7D1F">
        <w:t xml:space="preserve">           </w:t>
      </w:r>
      <w:r w:rsidR="00426FB8">
        <w:t xml:space="preserve"> € 18.</w:t>
      </w:r>
      <w:r w:rsidR="00AA7D1F">
        <w:t xml:space="preserve">778,00 en </w:t>
      </w:r>
      <w:r w:rsidR="00426FB8">
        <w:t xml:space="preserve">hogere toegekende subsidies van € 14.242,00 </w:t>
      </w:r>
      <w:r w:rsidR="00AA7D1F">
        <w:t xml:space="preserve">en </w:t>
      </w:r>
      <w:r>
        <w:t>een lagere opbrengst van de vrijwillige bijdrage en wijkkassen van € 37.599</w:t>
      </w:r>
      <w:r w:rsidR="00AA7D1F">
        <w:t>,00</w:t>
      </w:r>
    </w:p>
    <w:p w14:paraId="44A35C94" w14:textId="77777777" w:rsidR="00AA7D1F" w:rsidRDefault="00AA7D1F" w:rsidP="00965A9F">
      <w:pPr>
        <w:pStyle w:val="Geenafstand"/>
        <w:rPr>
          <w:b/>
          <w:bCs/>
        </w:rPr>
      </w:pPr>
    </w:p>
    <w:p w14:paraId="4137925C" w14:textId="138F5BED" w:rsidR="00AA7D1F" w:rsidRDefault="00AA7D1F" w:rsidP="00965A9F">
      <w:pPr>
        <w:pStyle w:val="Geenafstand"/>
        <w:rPr>
          <w:b/>
          <w:bCs/>
        </w:rPr>
      </w:pPr>
      <w:r>
        <w:rPr>
          <w:b/>
          <w:bCs/>
        </w:rPr>
        <w:t>Uitgaven en kosten</w:t>
      </w:r>
    </w:p>
    <w:p w14:paraId="2B586C2B" w14:textId="75519739" w:rsidR="00965A9F" w:rsidRDefault="00965A9F" w:rsidP="00965A9F">
      <w:pPr>
        <w:pStyle w:val="Geenafstand"/>
        <w:rPr>
          <w:b/>
          <w:bCs/>
        </w:rPr>
      </w:pPr>
      <w:r w:rsidRPr="00965A9F">
        <w:rPr>
          <w:b/>
          <w:bCs/>
        </w:rPr>
        <w:t>Kosten</w:t>
      </w:r>
    </w:p>
    <w:p w14:paraId="67C645A5" w14:textId="77777777" w:rsidR="005D6773" w:rsidRDefault="005D6773" w:rsidP="00965A9F">
      <w:pPr>
        <w:pStyle w:val="Geenafstand"/>
        <w:rPr>
          <w:b/>
          <w:bCs/>
        </w:rPr>
      </w:pPr>
    </w:p>
    <w:p w14:paraId="73B4735C" w14:textId="77777777" w:rsidR="0019323D" w:rsidRDefault="005D6773" w:rsidP="0019323D">
      <w:pPr>
        <w:pStyle w:val="Geenafstand"/>
      </w:pPr>
      <w:r>
        <w:t xml:space="preserve">Door het afscheid van 2 predikanten zijn </w:t>
      </w:r>
      <w:r w:rsidR="002D5DB8">
        <w:t>d</w:t>
      </w:r>
      <w:r w:rsidR="00965A9F">
        <w:t>e kosten van het pastoraat (predikanten en hulpdiensten)</w:t>
      </w:r>
      <w:r w:rsidR="002D5DB8">
        <w:t xml:space="preserve"> € 27.644,00</w:t>
      </w:r>
      <w:r w:rsidR="00965A9F">
        <w:t xml:space="preserve"> </w:t>
      </w:r>
      <w:r w:rsidR="002D5DB8">
        <w:t>lager dan begroot</w:t>
      </w:r>
      <w:r w:rsidR="00965A9F">
        <w:t xml:space="preserve">. </w:t>
      </w:r>
      <w:r w:rsidR="002D5DB8">
        <w:t xml:space="preserve"> Ook de </w:t>
      </w:r>
      <w:r w:rsidR="00701F4C">
        <w:t xml:space="preserve"> totale kosten van kerkelijke gebouwen en woningen zijn</w:t>
      </w:r>
    </w:p>
    <w:p w14:paraId="241DDBC3" w14:textId="6CBA7BB7" w:rsidR="00370A99" w:rsidRDefault="00701F4C" w:rsidP="0019323D">
      <w:pPr>
        <w:pStyle w:val="Geenafstand"/>
      </w:pPr>
      <w:r>
        <w:t xml:space="preserve"> € 15.015,- lager dan begroot; dit is vooral het gevolg van de in het najaar van 2022 doorgevoerde besparingen op energieverbruik. </w:t>
      </w:r>
    </w:p>
    <w:p w14:paraId="21251311" w14:textId="6B0B2CFA" w:rsidR="00965A9F" w:rsidRDefault="0019323D" w:rsidP="0019323D">
      <w:pPr>
        <w:pStyle w:val="Geenafstand"/>
      </w:pPr>
      <w:r>
        <w:t xml:space="preserve">Er </w:t>
      </w:r>
      <w:r w:rsidR="003B1AE5">
        <w:t xml:space="preserve">is </w:t>
      </w:r>
      <w:r w:rsidR="00EC18B9">
        <w:t>besloten</w:t>
      </w:r>
      <w:r w:rsidR="003B1AE5">
        <w:t xml:space="preserve"> </w:t>
      </w:r>
      <w:r w:rsidR="004A0783">
        <w:t>o</w:t>
      </w:r>
      <w:r w:rsidR="00EC18B9">
        <w:t xml:space="preserve">m de dotaties </w:t>
      </w:r>
      <w:r w:rsidR="00370A99">
        <w:t xml:space="preserve">ad € 69.000,- </w:t>
      </w:r>
      <w:r w:rsidR="00EC18B9">
        <w:t>aan de onderhoudsvoorzieningen</w:t>
      </w:r>
      <w:r w:rsidR="00370A99">
        <w:t xml:space="preserve"> van kerkgebouwen en orgels </w:t>
      </w:r>
      <w:r w:rsidR="00EC18B9">
        <w:t xml:space="preserve">éénmalig achterwege te laten. </w:t>
      </w:r>
    </w:p>
    <w:p w14:paraId="3A82FDF8" w14:textId="77777777" w:rsidR="002A6C84" w:rsidRDefault="00701F4C" w:rsidP="0019323D">
      <w:pPr>
        <w:pStyle w:val="Geenafstand"/>
      </w:pPr>
      <w:r>
        <w:t>De kerkelijke activiteiten</w:t>
      </w:r>
      <w:r w:rsidR="0019323D">
        <w:t xml:space="preserve"> </w:t>
      </w:r>
      <w:r>
        <w:t xml:space="preserve">laten een besparing zien van € 13.939,-; </w:t>
      </w:r>
      <w:r w:rsidR="00740505">
        <w:t xml:space="preserve">de bankkosten </w:t>
      </w:r>
      <w:r w:rsidR="002A6C84">
        <w:t xml:space="preserve">en rentelasten bedragen € 8418,- en </w:t>
      </w:r>
      <w:r w:rsidR="00740505">
        <w:t>zijn  € 1182,00 lager dan begroot.</w:t>
      </w:r>
    </w:p>
    <w:p w14:paraId="712F7134" w14:textId="77777777" w:rsidR="002A6C84" w:rsidRDefault="00740505" w:rsidP="002A6C84">
      <w:pPr>
        <w:pStyle w:val="Geenafstand"/>
      </w:pPr>
      <w:r>
        <w:t>De kosten van het beheer van de gebouwen en de kosten voor de administratie zijn</w:t>
      </w:r>
      <w:r w:rsidR="002A6C84">
        <w:t xml:space="preserve"> </w:t>
      </w:r>
      <w:r>
        <w:t>€ 13.471,- hoger dan begroot</w:t>
      </w:r>
      <w:r w:rsidR="00701F4C">
        <w:t xml:space="preserve">. </w:t>
      </w:r>
      <w:r w:rsidR="002A6C84">
        <w:t>Overeenkomstig de vastgestelde aanpak is begonnen met het op orde brengen van het kerkelijk bureau. Helaas heeft dit in 2022 nog niet geleid tot besparing op de kosten.</w:t>
      </w:r>
    </w:p>
    <w:p w14:paraId="4416D6BF" w14:textId="77777777" w:rsidR="002A6C84" w:rsidRDefault="002A6C84" w:rsidP="002A6C84">
      <w:pPr>
        <w:pStyle w:val="Geenafstand"/>
      </w:pPr>
    </w:p>
    <w:p w14:paraId="64970542" w14:textId="6745CB5C" w:rsidR="00162FAA" w:rsidRDefault="00162FAA" w:rsidP="00162FAA">
      <w:pPr>
        <w:pStyle w:val="Geenafstand"/>
      </w:pPr>
      <w:r>
        <w:t xml:space="preserve">Het uiteindelijke resultaat bedraagt </w:t>
      </w:r>
      <w:r w:rsidR="006E265B">
        <w:t xml:space="preserve">ad -/- € 17.096,- en </w:t>
      </w:r>
      <w:r>
        <w:t xml:space="preserve">is </w:t>
      </w:r>
      <w:r w:rsidR="00D36A96">
        <w:t xml:space="preserve">het </w:t>
      </w:r>
      <w:r>
        <w:t>resultaat na verwerking van de incidentele baten, met name de waardestijging van de pastorieën, en de onttrekkingen aan de reserves</w:t>
      </w:r>
      <w:r w:rsidR="006E265B">
        <w:t>.</w:t>
      </w:r>
      <w:r>
        <w:t xml:space="preserve"> </w:t>
      </w:r>
    </w:p>
    <w:p w14:paraId="7E0E030E" w14:textId="77777777" w:rsidR="006E265B" w:rsidRPr="00DB0654" w:rsidRDefault="006E265B" w:rsidP="00162FAA">
      <w:pPr>
        <w:pStyle w:val="Geenafstand"/>
        <w:rPr>
          <w:b/>
          <w:bCs/>
        </w:rPr>
      </w:pPr>
    </w:p>
    <w:p w14:paraId="2E21360D" w14:textId="130AA912" w:rsidR="00C830D3" w:rsidRPr="00E047CC" w:rsidRDefault="00162FAA" w:rsidP="00162FAA">
      <w:pPr>
        <w:pStyle w:val="Geenafstand"/>
      </w:pPr>
      <w:r w:rsidRPr="00E047CC">
        <w:t xml:space="preserve">De ontwikkeling van de liquiditeitspositie (het geld op de bankrekeningen van de PGE) is negatief.  De daling bedraagt € </w:t>
      </w:r>
      <w:r w:rsidR="00D36A96" w:rsidRPr="00E047CC">
        <w:t>99.302,- tot € 1.203.887,-</w:t>
      </w:r>
      <w:r w:rsidRPr="00E047CC">
        <w:t xml:space="preserve"> per 31 december 202</w:t>
      </w:r>
      <w:r w:rsidR="00D36A96" w:rsidRPr="00E047CC">
        <w:t>2</w:t>
      </w:r>
      <w:r w:rsidRPr="00E047CC">
        <w:t xml:space="preserve">. </w:t>
      </w:r>
      <w:r w:rsidR="00074A67" w:rsidRPr="00E047CC">
        <w:t>Dit is een afgeleide van het operationeel resultaat</w:t>
      </w:r>
      <w:r w:rsidR="00C830D3" w:rsidRPr="00E047CC">
        <w:t xml:space="preserve"> ad € 108.990,-</w:t>
      </w:r>
      <w:r w:rsidR="00074A67" w:rsidRPr="00E047CC">
        <w:t xml:space="preserve">. </w:t>
      </w:r>
      <w:r w:rsidR="00021734" w:rsidRPr="00E047CC">
        <w:t xml:space="preserve">De overige bestemmingsreserves dalen met </w:t>
      </w:r>
      <w:r w:rsidR="00E04BEF" w:rsidRPr="00E047CC">
        <w:t xml:space="preserve">€ 91.183,-. Eind </w:t>
      </w:r>
      <w:r w:rsidR="00E04BEF" w:rsidRPr="00E047CC">
        <w:lastRenderedPageBreak/>
        <w:t>2022 is het totaal bedrag voor de bestemmingsreserve € 338.383,-, exclusief de herwaarderingsreserve niet kerkelijke onroerende zaken.</w:t>
      </w:r>
    </w:p>
    <w:p w14:paraId="0B66C40F" w14:textId="5281D99B" w:rsidR="00162FAA" w:rsidRDefault="00C830D3" w:rsidP="00162FAA">
      <w:pPr>
        <w:pStyle w:val="Geenafstand"/>
      </w:pPr>
      <w:r w:rsidRPr="00E047CC">
        <w:t xml:space="preserve">Als gevolg van het resultaat </w:t>
      </w:r>
      <w:r w:rsidR="00065113" w:rsidRPr="00E047CC">
        <w:t xml:space="preserve">bedraagt </w:t>
      </w:r>
      <w:r w:rsidRPr="00E047CC">
        <w:t xml:space="preserve">het eigen vermogen </w:t>
      </w:r>
      <w:r w:rsidR="00065113" w:rsidRPr="00E047CC">
        <w:t>(algemene reserve en bestemmingsreserves) eind 2022 € 2.281.789,-. Dit is een stijging met € 23.721,-</w:t>
      </w:r>
      <w:r w:rsidR="006E265B" w:rsidRPr="00E047CC">
        <w:t xml:space="preserve">, </w:t>
      </w:r>
      <w:r w:rsidR="00065113" w:rsidRPr="00E047CC">
        <w:t>vooral een gevolg van de waardestijging van de pastorieën.</w:t>
      </w:r>
    </w:p>
    <w:p w14:paraId="3992EEE0" w14:textId="77777777" w:rsidR="006E265B" w:rsidRDefault="006E265B" w:rsidP="00162FAA">
      <w:pPr>
        <w:pStyle w:val="Geenafstand"/>
      </w:pPr>
    </w:p>
    <w:p w14:paraId="172B0AD2" w14:textId="6EC15D0E" w:rsidR="00276919" w:rsidRPr="00276919" w:rsidRDefault="00276919" w:rsidP="00162FAA">
      <w:pPr>
        <w:pStyle w:val="Geenafstand"/>
        <w:rPr>
          <w:b/>
          <w:bCs/>
        </w:rPr>
      </w:pPr>
      <w:r>
        <w:rPr>
          <w:b/>
          <w:bCs/>
        </w:rPr>
        <w:t>Ontwikkelingen in 2022</w:t>
      </w:r>
    </w:p>
    <w:p w14:paraId="4031E250" w14:textId="45CAFBCF" w:rsidR="00BC60C6" w:rsidRDefault="00162FAA" w:rsidP="00162FAA">
      <w:pPr>
        <w:pStyle w:val="Geenafstand"/>
      </w:pPr>
      <w:r>
        <w:t>De ontwikkeling van het resultaat blijft zorgelijk</w:t>
      </w:r>
      <w:r w:rsidR="00D36A96">
        <w:t>. Om hieraan tegemoet te komen is in 2022 besloten tot integratie van de wijkgemeenten in één gemeente</w:t>
      </w:r>
      <w:r w:rsidR="00276919">
        <w:t xml:space="preserve"> per 1</w:t>
      </w:r>
      <w:r w:rsidR="00D36A96">
        <w:t xml:space="preserve"> september 2023 (het nieuwe kerkelijk jaar). In het verslagjaar is hiervoor de basis gelegd</w:t>
      </w:r>
      <w:r w:rsidR="00276919">
        <w:t xml:space="preserve"> </w:t>
      </w:r>
      <w:r w:rsidR="00BC60C6">
        <w:t>en is volop gewerkt aan de besluitvorming die aan de integratie ten grondslag ligt. Zo zijn de volgende besluiten ge</w:t>
      </w:r>
      <w:r w:rsidR="00276919">
        <w:t>ëffectueerd</w:t>
      </w:r>
      <w:r w:rsidR="00BC60C6">
        <w:t xml:space="preserve"> in 2022:</w:t>
      </w:r>
    </w:p>
    <w:p w14:paraId="39847F02" w14:textId="50686642" w:rsidR="00BC60C6" w:rsidRDefault="00BC60C6" w:rsidP="00BC60C6">
      <w:pPr>
        <w:pStyle w:val="Geenafstand"/>
        <w:numPr>
          <w:ilvl w:val="0"/>
          <w:numId w:val="1"/>
        </w:numPr>
      </w:pPr>
      <w:r>
        <w:t>Het aantal predikantsplaatsen en hulpdiensten is verlaagd met circa 2 fte tot 2,8 fte per januari 2023.</w:t>
      </w:r>
    </w:p>
    <w:p w14:paraId="1FF4176C" w14:textId="70EB0E9E" w:rsidR="00BC60C6" w:rsidRDefault="00BC60C6" w:rsidP="00BC60C6">
      <w:pPr>
        <w:pStyle w:val="Geenafstand"/>
        <w:numPr>
          <w:ilvl w:val="0"/>
          <w:numId w:val="1"/>
        </w:numPr>
      </w:pPr>
      <w:r>
        <w:t>Het aantal vierplekken voor de PGE gaat terug van 5 naar 2 per 1 september 2023</w:t>
      </w:r>
      <w:r w:rsidR="00276919">
        <w:t>.</w:t>
      </w:r>
    </w:p>
    <w:p w14:paraId="18A4761A" w14:textId="77777777" w:rsidR="00280D45" w:rsidRDefault="00276919" w:rsidP="00280D45">
      <w:pPr>
        <w:pStyle w:val="Geenafstand"/>
        <w:numPr>
          <w:ilvl w:val="0"/>
          <w:numId w:val="1"/>
        </w:numPr>
      </w:pPr>
      <w:r>
        <w:t xml:space="preserve">Eind 2022 zijn de beschikbare pastorieën allen verhuurd als woonhuizen; voor de toekomst gaan we er van uit dat één woning beschikbaar zal blijven als pastorie. </w:t>
      </w:r>
    </w:p>
    <w:p w14:paraId="6BC9556B" w14:textId="77777777" w:rsidR="00280D45" w:rsidRDefault="00280D45" w:rsidP="00280D45">
      <w:pPr>
        <w:pStyle w:val="Geenafstand"/>
      </w:pPr>
      <w:r>
        <w:t>De financiële effecten van deze, als pijnlijk ervaren, maatregelen zullen vanaf 2023 en 2024 duidelijk inzichtelijk worden.</w:t>
      </w:r>
    </w:p>
    <w:p w14:paraId="09854EF6" w14:textId="77777777" w:rsidR="00280D45" w:rsidRDefault="00280D45" w:rsidP="00280D45">
      <w:pPr>
        <w:pStyle w:val="Geenafstand"/>
      </w:pPr>
    </w:p>
    <w:p w14:paraId="38D1A1B2" w14:textId="25DED026" w:rsidR="00280D45" w:rsidRDefault="00280D45" w:rsidP="00280D45">
      <w:pPr>
        <w:pStyle w:val="Geenafstand"/>
      </w:pPr>
      <w:r>
        <w:t>Daarnaast is ingespeeld op de volgende ontwikkelingen:</w:t>
      </w:r>
    </w:p>
    <w:p w14:paraId="659F2957" w14:textId="77777777" w:rsidR="00074A67" w:rsidRPr="00074A67" w:rsidRDefault="00280D45" w:rsidP="00E755BA">
      <w:pPr>
        <w:pStyle w:val="Geenafstand"/>
        <w:numPr>
          <w:ilvl w:val="0"/>
          <w:numId w:val="1"/>
        </w:numPr>
      </w:pPr>
      <w:r w:rsidRPr="00074A67">
        <w:t xml:space="preserve">Een studie naar de toekomstige inzet van de kerkelijke centra Beatrix en Open Hof. Hierover is advies ingewonnen bij </w:t>
      </w:r>
      <w:r w:rsidR="00074A67" w:rsidRPr="00074A67">
        <w:t>Kerkelijk waarde Beheer. Eind 2022 is gekozen voor het behouden van 2 vierplekken. Over de toekomstige invulling wordt besloten na 1 september 2023.</w:t>
      </w:r>
    </w:p>
    <w:p w14:paraId="3A91108D" w14:textId="53BF1BED" w:rsidR="00276919" w:rsidRDefault="00280D45" w:rsidP="00E755BA">
      <w:pPr>
        <w:pStyle w:val="Geenafstand"/>
        <w:numPr>
          <w:ilvl w:val="0"/>
          <w:numId w:val="1"/>
        </w:numPr>
      </w:pPr>
      <w:r>
        <w:t>De haalbaarheid van verzelfstandiging van de bijzondere wijkgemeente Emmaüs zal worden onderzocht. Inmiddels heeft dit in 2023 geleid tot een principe besluit tot verzelfstandiging.</w:t>
      </w:r>
    </w:p>
    <w:p w14:paraId="7F2E3DD4" w14:textId="14B9E4F4" w:rsidR="00276919" w:rsidRDefault="00276919" w:rsidP="00BC60C6">
      <w:pPr>
        <w:pStyle w:val="Geenafstand"/>
        <w:numPr>
          <w:ilvl w:val="0"/>
          <w:numId w:val="1"/>
        </w:numPr>
      </w:pPr>
      <w:r>
        <w:t xml:space="preserve">Voor de vrijkomende kerkelijke centra (Tabor/Ons Huis én Harskamp) worden de mogelijkheden onderzocht voor verhuur (korte termijn) en projectontwikkeling. </w:t>
      </w:r>
    </w:p>
    <w:p w14:paraId="18B4973C" w14:textId="77777777" w:rsidR="00280D45" w:rsidRDefault="00280D45" w:rsidP="00280D45">
      <w:pPr>
        <w:pStyle w:val="Geenafstand"/>
      </w:pPr>
    </w:p>
    <w:p w14:paraId="361F6FBA" w14:textId="72A1FC99" w:rsidR="00280D45" w:rsidRDefault="00280D45" w:rsidP="00280D45">
      <w:pPr>
        <w:pStyle w:val="Geenafstand"/>
      </w:pPr>
      <w:r>
        <w:t xml:space="preserve">In 2022 is ook de PGE geconfronteerd met de energiecrisis. Deze is gepaard gegaan met sterke prijsstijgingen en heeft in het najaar van 2022 geleid tot het besluit dat in een aantal kerken de verwarming op 10 graden gezet is en is voor de verhuur afgesproken om te werken met een energie opslag. </w:t>
      </w:r>
    </w:p>
    <w:p w14:paraId="66AF9C36" w14:textId="77777777" w:rsidR="00280D45" w:rsidRDefault="00280D45" w:rsidP="00280D45">
      <w:pPr>
        <w:pStyle w:val="Geenafstand"/>
      </w:pPr>
    </w:p>
    <w:p w14:paraId="3CEE453B" w14:textId="69CBE1E8" w:rsidR="00280D45" w:rsidRDefault="00280D45" w:rsidP="00280D45">
      <w:pPr>
        <w:pStyle w:val="Geenafstand"/>
      </w:pPr>
      <w:r>
        <w:t xml:space="preserve">Tenslotte is in 2022 begonnen met het herstructureren van het kerkelijk bureau, mede doordat de medewerker met pensioen is gegaan. </w:t>
      </w:r>
      <w:r w:rsidR="00AC043F">
        <w:t>Het CvK heeft in 2022 de basis gelegd voor een andere opzet, waarbij in de toekomst de taken veelal door vrijwilligers wordt uitgevoerd ondersteund door professionele administratie. De administratieve taken worden in de loop van 2023/2024 uitbesteed.</w:t>
      </w:r>
    </w:p>
    <w:p w14:paraId="0438CC76" w14:textId="77777777" w:rsidR="00AC043F" w:rsidRDefault="00AC043F" w:rsidP="00280D45">
      <w:pPr>
        <w:pStyle w:val="Geenafstand"/>
      </w:pPr>
    </w:p>
    <w:p w14:paraId="700C9145" w14:textId="32277D2A" w:rsidR="00AC043F" w:rsidRPr="00AC043F" w:rsidRDefault="00AC043F" w:rsidP="00280D45">
      <w:pPr>
        <w:pStyle w:val="Geenafstand"/>
        <w:rPr>
          <w:b/>
          <w:bCs/>
        </w:rPr>
      </w:pPr>
      <w:r w:rsidRPr="00AC043F">
        <w:rPr>
          <w:b/>
          <w:bCs/>
        </w:rPr>
        <w:t>Toekomst PGE</w:t>
      </w:r>
    </w:p>
    <w:p w14:paraId="30D80134" w14:textId="77777777" w:rsidR="00DB0654" w:rsidRDefault="00AC043F" w:rsidP="00162FAA">
      <w:pPr>
        <w:pStyle w:val="Geenafstand"/>
      </w:pPr>
      <w:r>
        <w:t xml:space="preserve">Zoals hiervoor beschreven bevindt de PGE zich in een overgangsfase van 5 wijkgemeenten naar één gemeente met een kerkenraad. De genomen besluiten vormen de eerste stap in het proces tot éénwording. In de nabije toekomst liggen er twee </w:t>
      </w:r>
      <w:r w:rsidR="00DB0654">
        <w:t>grote vraagstukken waarover besluiten genomen moeten worden:</w:t>
      </w:r>
    </w:p>
    <w:p w14:paraId="4A857C99" w14:textId="3EAC43AF" w:rsidR="00D36A96" w:rsidRDefault="00DB0654" w:rsidP="00DB0654">
      <w:pPr>
        <w:pStyle w:val="Geenafstand"/>
        <w:numPr>
          <w:ilvl w:val="0"/>
          <w:numId w:val="2"/>
        </w:numPr>
      </w:pPr>
      <w:r>
        <w:t xml:space="preserve">Het beroepen van een nieuwe predikant in de ontstane vacature van ds. De Jong (vierplek zuid). De Kerkenraad heeft uitgesproken dat dit de eerste prioriteit is. Dit vereist een solvabiliteitsverklaring van het </w:t>
      </w:r>
      <w:r w:rsidR="00074A67">
        <w:t>CCBB</w:t>
      </w:r>
      <w:r>
        <w:t>, wat op dit moment geen vanzelfsprekendheid is.</w:t>
      </w:r>
    </w:p>
    <w:p w14:paraId="41B25459" w14:textId="222ACAF6" w:rsidR="00DB0654" w:rsidRDefault="00DB0654" w:rsidP="00DB0654">
      <w:pPr>
        <w:pStyle w:val="Geenafstand"/>
        <w:numPr>
          <w:ilvl w:val="0"/>
          <w:numId w:val="2"/>
        </w:numPr>
      </w:pPr>
      <w:r>
        <w:t xml:space="preserve">De manier waarop invulling wordt gegeven aan het besluit twee vierplekken te hebben. Hier spelen vraagstukken over het gebruik van de beide centra én het nemen van energie besparende maatregelen. </w:t>
      </w:r>
    </w:p>
    <w:p w14:paraId="7ADE3C64" w14:textId="38E90205" w:rsidR="00DB0654" w:rsidRDefault="00DB0654" w:rsidP="00DB0654">
      <w:pPr>
        <w:pStyle w:val="Geenafstand"/>
      </w:pPr>
      <w:r>
        <w:t>Het Cvk verwacht hierover in de loop van 2024 meer duidelijkheid.</w:t>
      </w:r>
    </w:p>
    <w:p w14:paraId="4F88B3B9" w14:textId="77777777" w:rsidR="00DB0654" w:rsidRDefault="00DB0654" w:rsidP="00DB0654">
      <w:pPr>
        <w:pStyle w:val="Geenafstand"/>
      </w:pPr>
    </w:p>
    <w:sectPr w:rsidR="00DB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221"/>
    <w:multiLevelType w:val="hybridMultilevel"/>
    <w:tmpl w:val="32CAD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024C51"/>
    <w:multiLevelType w:val="hybridMultilevel"/>
    <w:tmpl w:val="23782A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1AC0"/>
    <w:multiLevelType w:val="hybridMultilevel"/>
    <w:tmpl w:val="FB323F74"/>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3" w15:restartNumberingAfterBreak="0">
    <w:nsid w:val="3B1F63A4"/>
    <w:multiLevelType w:val="hybridMultilevel"/>
    <w:tmpl w:val="C2CC9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BB3199"/>
    <w:multiLevelType w:val="hybridMultilevel"/>
    <w:tmpl w:val="A712D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3C1166"/>
    <w:multiLevelType w:val="hybridMultilevel"/>
    <w:tmpl w:val="3976B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385471"/>
    <w:multiLevelType w:val="hybridMultilevel"/>
    <w:tmpl w:val="3CD88DF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82501A"/>
    <w:multiLevelType w:val="hybridMultilevel"/>
    <w:tmpl w:val="2378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AA"/>
    <w:rsid w:val="00021734"/>
    <w:rsid w:val="00061297"/>
    <w:rsid w:val="00065113"/>
    <w:rsid w:val="00074A67"/>
    <w:rsid w:val="001071D0"/>
    <w:rsid w:val="00162FAA"/>
    <w:rsid w:val="0019323D"/>
    <w:rsid w:val="00237D18"/>
    <w:rsid w:val="00253D75"/>
    <w:rsid w:val="00276919"/>
    <w:rsid w:val="00280D45"/>
    <w:rsid w:val="002A4B88"/>
    <w:rsid w:val="002A6C84"/>
    <w:rsid w:val="002D5DB8"/>
    <w:rsid w:val="002E7467"/>
    <w:rsid w:val="00337057"/>
    <w:rsid w:val="00346658"/>
    <w:rsid w:val="00370A99"/>
    <w:rsid w:val="003B1AE5"/>
    <w:rsid w:val="003F2817"/>
    <w:rsid w:val="00422DE1"/>
    <w:rsid w:val="00426FB8"/>
    <w:rsid w:val="00464EDA"/>
    <w:rsid w:val="004653BD"/>
    <w:rsid w:val="004A0783"/>
    <w:rsid w:val="004C2EE3"/>
    <w:rsid w:val="004D1705"/>
    <w:rsid w:val="005D6773"/>
    <w:rsid w:val="006C78DA"/>
    <w:rsid w:val="006E265B"/>
    <w:rsid w:val="00701F4C"/>
    <w:rsid w:val="00740505"/>
    <w:rsid w:val="00831ACE"/>
    <w:rsid w:val="00862053"/>
    <w:rsid w:val="008A20F8"/>
    <w:rsid w:val="008B1FEA"/>
    <w:rsid w:val="008E5DAC"/>
    <w:rsid w:val="00905008"/>
    <w:rsid w:val="00965A9F"/>
    <w:rsid w:val="009D5183"/>
    <w:rsid w:val="009F0AFF"/>
    <w:rsid w:val="00A937A1"/>
    <w:rsid w:val="00AA7D1F"/>
    <w:rsid w:val="00AC043F"/>
    <w:rsid w:val="00AC1AE9"/>
    <w:rsid w:val="00AD2CC9"/>
    <w:rsid w:val="00B22049"/>
    <w:rsid w:val="00BA68DB"/>
    <w:rsid w:val="00BB302C"/>
    <w:rsid w:val="00BC4ED5"/>
    <w:rsid w:val="00BC60C6"/>
    <w:rsid w:val="00C00444"/>
    <w:rsid w:val="00C830D3"/>
    <w:rsid w:val="00D36A96"/>
    <w:rsid w:val="00D63BF2"/>
    <w:rsid w:val="00DA66E7"/>
    <w:rsid w:val="00DB0654"/>
    <w:rsid w:val="00DB7E8E"/>
    <w:rsid w:val="00E02E60"/>
    <w:rsid w:val="00E047CC"/>
    <w:rsid w:val="00E04BEF"/>
    <w:rsid w:val="00E76645"/>
    <w:rsid w:val="00E914F3"/>
    <w:rsid w:val="00E94160"/>
    <w:rsid w:val="00EC18B9"/>
    <w:rsid w:val="00EF2188"/>
    <w:rsid w:val="00F1742F"/>
    <w:rsid w:val="00F80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1AB6"/>
  <w15:chartTrackingRefBased/>
  <w15:docId w15:val="{EE8FD78A-FA53-4650-B9F7-DF7CC0A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62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62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74A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074A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8620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62FAA"/>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162FAA"/>
    <w:pPr>
      <w:spacing w:after="0" w:line="240" w:lineRule="auto"/>
    </w:pPr>
    <w:rPr>
      <w:kern w:val="0"/>
      <w14:ligatures w14:val="none"/>
    </w:rPr>
  </w:style>
  <w:style w:type="table" w:styleId="Tabelraster">
    <w:name w:val="Table Grid"/>
    <w:basedOn w:val="Standaardtabel"/>
    <w:uiPriority w:val="39"/>
    <w:rsid w:val="0046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1742F"/>
    <w:rPr>
      <w:sz w:val="16"/>
      <w:szCs w:val="16"/>
    </w:rPr>
  </w:style>
  <w:style w:type="paragraph" w:styleId="Tekstopmerking">
    <w:name w:val="annotation text"/>
    <w:basedOn w:val="Standaard"/>
    <w:link w:val="TekstopmerkingChar"/>
    <w:uiPriority w:val="99"/>
    <w:unhideWhenUsed/>
    <w:rsid w:val="00F1742F"/>
    <w:pPr>
      <w:spacing w:line="240" w:lineRule="auto"/>
    </w:pPr>
    <w:rPr>
      <w:sz w:val="20"/>
      <w:szCs w:val="20"/>
    </w:rPr>
  </w:style>
  <w:style w:type="character" w:customStyle="1" w:styleId="TekstopmerkingChar">
    <w:name w:val="Tekst opmerking Char"/>
    <w:basedOn w:val="Standaardalinea-lettertype"/>
    <w:link w:val="Tekstopmerking"/>
    <w:uiPriority w:val="99"/>
    <w:rsid w:val="00F1742F"/>
    <w:rPr>
      <w:sz w:val="20"/>
      <w:szCs w:val="20"/>
    </w:rPr>
  </w:style>
  <w:style w:type="paragraph" w:styleId="Onderwerpvanopmerking">
    <w:name w:val="annotation subject"/>
    <w:basedOn w:val="Tekstopmerking"/>
    <w:next w:val="Tekstopmerking"/>
    <w:link w:val="OnderwerpvanopmerkingChar"/>
    <w:uiPriority w:val="99"/>
    <w:semiHidden/>
    <w:unhideWhenUsed/>
    <w:rsid w:val="00F1742F"/>
    <w:rPr>
      <w:b/>
      <w:bCs/>
    </w:rPr>
  </w:style>
  <w:style w:type="character" w:customStyle="1" w:styleId="OnderwerpvanopmerkingChar">
    <w:name w:val="Onderwerp van opmerking Char"/>
    <w:basedOn w:val="TekstopmerkingChar"/>
    <w:link w:val="Onderwerpvanopmerking"/>
    <w:uiPriority w:val="99"/>
    <w:semiHidden/>
    <w:rsid w:val="00F1742F"/>
    <w:rPr>
      <w:b/>
      <w:bCs/>
      <w:sz w:val="20"/>
      <w:szCs w:val="20"/>
    </w:rPr>
  </w:style>
  <w:style w:type="character" w:customStyle="1" w:styleId="Kop3Char">
    <w:name w:val="Kop 3 Char"/>
    <w:basedOn w:val="Standaardalinea-lettertype"/>
    <w:link w:val="Kop3"/>
    <w:uiPriority w:val="9"/>
    <w:rsid w:val="00074A67"/>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074A67"/>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86205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62053"/>
    <w:pPr>
      <w:ind w:left="720"/>
      <w:contextualSpacing/>
    </w:pPr>
  </w:style>
  <w:style w:type="character" w:customStyle="1" w:styleId="Kop5Char">
    <w:name w:val="Kop 5 Char"/>
    <w:basedOn w:val="Standaardalinea-lettertype"/>
    <w:link w:val="Kop5"/>
    <w:uiPriority w:val="9"/>
    <w:rsid w:val="00862053"/>
    <w:rPr>
      <w:rFonts w:asciiTheme="majorHAnsi" w:eastAsiaTheme="majorEastAsia" w:hAnsiTheme="majorHAnsi" w:cstheme="majorBidi"/>
      <w:color w:val="2F5496" w:themeColor="accent1" w:themeShade="BF"/>
    </w:rPr>
  </w:style>
  <w:style w:type="paragraph" w:styleId="Revisie">
    <w:name w:val="Revision"/>
    <w:hidden/>
    <w:uiPriority w:val="99"/>
    <w:semiHidden/>
    <w:rsid w:val="00AC1AE9"/>
    <w:pPr>
      <w:spacing w:after="0" w:line="240" w:lineRule="auto"/>
    </w:pPr>
  </w:style>
  <w:style w:type="paragraph" w:styleId="Ballontekst">
    <w:name w:val="Balloon Text"/>
    <w:basedOn w:val="Standaard"/>
    <w:link w:val="BallontekstChar"/>
    <w:uiPriority w:val="99"/>
    <w:semiHidden/>
    <w:unhideWhenUsed/>
    <w:rsid w:val="002A4B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4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996</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Microsoft-account</cp:lastModifiedBy>
  <cp:revision>5</cp:revision>
  <dcterms:created xsi:type="dcterms:W3CDTF">2023-11-13T11:20:00Z</dcterms:created>
  <dcterms:modified xsi:type="dcterms:W3CDTF">2023-11-20T20:10:00Z</dcterms:modified>
</cp:coreProperties>
</file>